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CA-11340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追繳、補繳及處分作業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11B21FBF" w14:textId="77777777" w:rsidR="00FC4DDB" w:rsidRDefault="003B3105" w:rsidP="003B3105">
            <w:pPr>
              <w:spacing w:line="360" w:lineRule="exact"/>
              <w:ind w:left="28" w:right="28"/>
              <w:rPr>
                <w:rFonts w:ascii="新細明體" w:eastAsia="新細明體" w:hAnsi="新細明體" w:cs="Times New Roman"/>
                <w:color w:val="FF0000"/>
                <w:spacing w:val="20"/>
                <w:szCs w:val="20"/>
                <w:u w:val="single"/>
              </w:rPr>
            </w:pPr>
            <w:r>
              <w:rPr>
                <w:rFonts w:ascii="新細明體" w:eastAsia="新細明體" w:hAnsi="新細明體" w:cs="Times New Roman" w:hint="eastAsia"/>
                <w:color w:val="FF0000"/>
                <w:spacing w:val="20"/>
                <w:szCs w:val="20"/>
                <w:u w:val="single"/>
              </w:rPr>
              <w:t>一、配合「證券商辦理有價證券買賣融資融券業務操作辦法」第57條修正，放寬抵繳擔保品適用範圍，新增零股</w:t>
            </w:r>
            <w:proofErr w:type="gramStart"/>
            <w:r>
              <w:rPr>
                <w:rFonts w:ascii="新細明體" w:eastAsia="新細明體" w:hAnsi="新細明體" w:cs="Times New Roman" w:hint="eastAsia"/>
                <w:color w:val="FF0000"/>
                <w:spacing w:val="20"/>
                <w:szCs w:val="20"/>
                <w:u w:val="single"/>
              </w:rPr>
              <w:t>及興櫃股票</w:t>
            </w:r>
            <w:proofErr w:type="gramEnd"/>
            <w:r>
              <w:rPr>
                <w:rFonts w:ascii="新細明體" w:eastAsia="新細明體" w:hAnsi="新細明體" w:cs="Times New Roman" w:hint="eastAsia"/>
                <w:color w:val="FF0000"/>
                <w:spacing w:val="20"/>
                <w:szCs w:val="20"/>
                <w:u w:val="single"/>
              </w:rPr>
              <w:t>為抵繳標的，</w:t>
            </w:r>
            <w:r w:rsidR="00FC4DDB">
              <w:rPr>
                <w:rFonts w:ascii="新細明體" w:eastAsia="新細明體" w:hAnsi="新細明體" w:cs="Times New Roman" w:hint="eastAsia"/>
                <w:color w:val="FF0000"/>
                <w:spacing w:val="20"/>
                <w:szCs w:val="20"/>
                <w:u w:val="single"/>
              </w:rPr>
              <w:t>證券商並應訂定</w:t>
            </w:r>
            <w:r w:rsidR="00FC4DDB" w:rsidRPr="00FC4DDB">
              <w:rPr>
                <w:rFonts w:ascii="新細明體" w:eastAsia="新細明體" w:hAnsi="新細明體" w:cs="Times New Roman" w:hint="eastAsia"/>
                <w:color w:val="FF0000"/>
                <w:spacing w:val="20"/>
                <w:szCs w:val="20"/>
                <w:u w:val="single"/>
              </w:rPr>
              <w:t>具體風險認定標準及最低</w:t>
            </w:r>
            <w:r w:rsidR="00FC4DDB">
              <w:rPr>
                <w:rFonts w:ascii="新細明體" w:eastAsia="新細明體" w:hAnsi="新細明體" w:cs="Times New Roman" w:hint="eastAsia"/>
                <w:color w:val="FF0000"/>
                <w:spacing w:val="20"/>
                <w:szCs w:val="20"/>
                <w:u w:val="single"/>
              </w:rPr>
              <w:t>收受</w:t>
            </w:r>
            <w:r w:rsidR="00FC4DDB" w:rsidRPr="00FC4DDB">
              <w:rPr>
                <w:rFonts w:ascii="新細明體" w:eastAsia="新細明體" w:hAnsi="新細明體" w:cs="Times New Roman" w:hint="eastAsia"/>
                <w:color w:val="FF0000"/>
                <w:spacing w:val="20"/>
                <w:szCs w:val="20"/>
                <w:u w:val="single"/>
              </w:rPr>
              <w:t>金額</w:t>
            </w:r>
            <w:r>
              <w:rPr>
                <w:rFonts w:ascii="新細明體" w:eastAsia="新細明體" w:hAnsi="新細明體" w:cs="Times New Roman" w:hint="eastAsia"/>
                <w:color w:val="FF0000"/>
                <w:spacing w:val="20"/>
                <w:szCs w:val="20"/>
                <w:u w:val="single"/>
              </w:rPr>
              <w:t>，</w:t>
            </w:r>
            <w:proofErr w:type="gramStart"/>
            <w:r>
              <w:rPr>
                <w:rFonts w:ascii="新細明體" w:eastAsia="新細明體" w:hAnsi="新細明體" w:cs="Times New Roman" w:hint="eastAsia"/>
                <w:color w:val="FF0000"/>
                <w:spacing w:val="20"/>
                <w:szCs w:val="20"/>
                <w:u w:val="single"/>
              </w:rPr>
              <w:t>爰</w:t>
            </w:r>
            <w:proofErr w:type="gramEnd"/>
            <w:r>
              <w:rPr>
                <w:rFonts w:ascii="新細明體" w:eastAsia="新細明體" w:hAnsi="新細明體" w:cs="Times New Roman" w:hint="eastAsia"/>
                <w:color w:val="FF0000"/>
                <w:spacing w:val="20"/>
                <w:szCs w:val="20"/>
                <w:u w:val="single"/>
              </w:rPr>
              <w:t xml:space="preserve">予修正。 </w:t>
            </w:r>
          </w:p>
          <w:p w14:paraId="217DBB1D" w14:textId="5FCE8ADD"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二、配合「證券商辦理有價證券買賣融資融券業務操作辦法」第58條修正，增訂委託人得以通信及電子化等非當面方式申請抵繳之規範，</w:t>
            </w:r>
            <w:proofErr w:type="gramStart"/>
            <w:r>
              <w:rPr>
                <w:rFonts w:ascii="新細明體" w:eastAsia="新細明體" w:hAnsi="新細明體" w:cs="Times New Roman" w:hint="eastAsia"/>
                <w:color w:val="FF0000"/>
                <w:spacing w:val="20"/>
                <w:szCs w:val="20"/>
                <w:u w:val="single"/>
              </w:rPr>
              <w:t>爰</w:t>
            </w:r>
            <w:proofErr w:type="gramEnd"/>
            <w:r>
              <w:rPr>
                <w:rFonts w:ascii="新細明體" w:eastAsia="新細明體" w:hAnsi="新細明體" w:cs="Times New Roman" w:hint="eastAsia"/>
                <w:color w:val="FF0000"/>
                <w:spacing w:val="20"/>
                <w:szCs w:val="20"/>
                <w:u w:val="single"/>
              </w:rPr>
              <w:t>予修正。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(一)公司應逐日依計算每一信用帳戶之整戶及各筆融資融券擔保維持率。</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(一)公司應逐日依計算每一信用帳戶之整戶及各筆融資融券擔保維持率。</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14DE3A" w14:textId="77777777">
        <w:tc>
          <w:tcPr>
            <w:tcW w:w="1384" w:type="dxa"/>
            <w:vMerge/>
            <w:tcBorders>
              <w:left w:val="single" w:sz="12" w:space="0" w:color="auto"/>
            </w:tcBorders>
          </w:tcPr>
          <w:p w14:paraId="0C7E49FF" w14:textId="77777777" w:rsidR="003B3105" w:rsidRDefault="003B3105" w:rsidP="001E533B">
            <w:pPr>
              <w:rPr>
                <w:rFonts w:ascii="新細明體" w:eastAsia="新細明體" w:hAnsi="新細明體"/>
              </w:rPr>
            </w:pPr>
          </w:p>
        </w:tc>
        <w:tc>
          <w:tcPr>
            <w:tcW w:w="1276" w:type="dxa"/>
            <w:vMerge/>
          </w:tcPr>
          <w:p w14:paraId="63E98537" w14:textId="77777777" w:rsidR="003B3105" w:rsidRDefault="003B3105" w:rsidP="001E533B">
            <w:pPr>
              <w:rPr>
                <w:rFonts w:ascii="新細明體" w:eastAsia="新細明體" w:hAnsi="新細明體"/>
              </w:rPr>
            </w:pPr>
          </w:p>
        </w:tc>
        <w:tc>
          <w:tcPr>
            <w:tcW w:w="5386" w:type="dxa"/>
            <w:tcBorders>
              <w:top w:val="nil"/>
              <w:bottom w:val="nil"/>
            </w:tcBorders>
          </w:tcPr>
          <w:p w14:paraId="10A877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於上市(櫃)有價證券除權息交易日之前六個營業日，除現金增資者外，其融資擔保品證券市值及上市(櫃)有價證券抵繳市值，以各當日收盤價格扣除息值或扣除以該當日收盤價為基礎計算之權值計之。客戶融資買進之證券，其無償配股股票股利率達百分之二十以上，或該證券之發行公司辦理分割減資事宜，且減資後股票恢復交易與分割受讓公司之股票上市(櫃)為同日者，除有經主管機關限制買賣者外，該權值新股或分割受讓公司之股票應全部作為擔保，且該權值新股或分割受讓公司之股票不得充當公司辦理有價證券買賣融券之券源或作為轉融通之擔保。以權值新股或分割受讓公司之股票作為擔保者，除權交易後，權值新股市值之計算，上市(櫃)得為融資融券有價證券按收盤價七折計算；有未依「有價證券得為融資融券標準」第二條、第三條規定取得融資融券交易資格者或經同標準第四條、第五條規定暫停融資融券交易資格者，按收盤價五折計算，於撥入公司融資融券專戶後，免折價計算。</w:t>
            </w:r>
          </w:p>
        </w:tc>
        <w:tc>
          <w:tcPr>
            <w:tcW w:w="5387" w:type="dxa"/>
            <w:tcBorders>
              <w:top w:val="nil"/>
              <w:bottom w:val="nil"/>
            </w:tcBorders>
          </w:tcPr>
          <w:p w14:paraId="29EC39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於上市(櫃)有價證券除權息交易日之前六個營業日，除現金增資者外，其融資擔保品證券市值及上市(櫃)有價證券抵繳市值，以各當日收盤價格扣除息值或扣除以該當日收盤價為基礎計算之權值計之。客戶融資買進之證券，其無償配股股票股利率達百分之二十以上，或該證券之發行公司辦理分割減資事宜，且減資後股票恢復交易與分割受讓公司之股票上市(櫃)為同日者，除有經主管機關限制買賣者外，該權值新股或分割受讓公司之股票應全部作為擔保，且該權值新股或分割受讓公司之股票不得充當公司辦理有價證券買賣融券之券源或作為轉融通之擔保。以權值新股或分割受讓公司之股票作為擔保者，除權交易後，權值新股市值之計算，上市(櫃)得為融資融券有價證券按收盤價七折計算；有未依「有價證券得為融資融券標準」第二條、第三條規定取得融資融券交易資格者或經同標準第四條、第五條規定暫停融資融券交易資格者，按收盤價五折計算，於撥入公司融資融券專戶後，免折價計算。</w:t>
            </w:r>
          </w:p>
        </w:tc>
        <w:tc>
          <w:tcPr>
            <w:tcW w:w="2023" w:type="dxa"/>
            <w:vMerge/>
            <w:tcBorders>
              <w:right w:val="single" w:sz="12" w:space="0" w:color="auto"/>
            </w:tcBorders>
          </w:tcPr>
          <w:p w14:paraId="66627A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DECCE9" w14:textId="77777777">
        <w:tc>
          <w:tcPr>
            <w:tcW w:w="1384" w:type="dxa"/>
            <w:vMerge/>
            <w:tcBorders>
              <w:left w:val="single" w:sz="12" w:space="0" w:color="auto"/>
            </w:tcBorders>
          </w:tcPr>
          <w:p w14:paraId="1A9E3841" w14:textId="77777777" w:rsidR="003B3105" w:rsidRDefault="003B3105" w:rsidP="001E533B">
            <w:pPr>
              <w:rPr>
                <w:rFonts w:ascii="新細明體" w:eastAsia="新細明體" w:hAnsi="新細明體"/>
              </w:rPr>
            </w:pPr>
          </w:p>
        </w:tc>
        <w:tc>
          <w:tcPr>
            <w:tcW w:w="1276" w:type="dxa"/>
            <w:vMerge/>
          </w:tcPr>
          <w:p w14:paraId="42E0DFB8" w14:textId="77777777" w:rsidR="003B3105" w:rsidRDefault="003B3105" w:rsidP="001E533B">
            <w:pPr>
              <w:rPr>
                <w:rFonts w:ascii="新細明體" w:eastAsia="新細明體" w:hAnsi="新細明體"/>
              </w:rPr>
            </w:pPr>
          </w:p>
        </w:tc>
        <w:tc>
          <w:tcPr>
            <w:tcW w:w="5386" w:type="dxa"/>
            <w:tcBorders>
              <w:top w:val="nil"/>
              <w:bottom w:val="nil"/>
            </w:tcBorders>
          </w:tcPr>
          <w:p w14:paraId="47F361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(三)客戶信用帳戶之整戶擔保維持率低於百分之一百三十者，公司應即通知客戶就各該筆不足擔保維持率之融資融券，於通知送達之日起二個營業日內補繳融資自備款或融券保證金差額。</w:t>
            </w:r>
          </w:p>
        </w:tc>
        <w:tc>
          <w:tcPr>
            <w:tcW w:w="5387" w:type="dxa"/>
            <w:tcBorders>
              <w:top w:val="nil"/>
              <w:bottom w:val="nil"/>
            </w:tcBorders>
          </w:tcPr>
          <w:p w14:paraId="5F0255E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(三)客戶信用帳戶之整戶擔保維持率低於百分之一百三十者，公司應即通知客戶就各該筆不足擔保維持率之融資融券，於通知送達之日起二個營業日內補繳融資自備款或融券保證金差額。</w:t>
            </w:r>
          </w:p>
        </w:tc>
        <w:tc>
          <w:tcPr>
            <w:tcW w:w="2023" w:type="dxa"/>
            <w:vMerge/>
            <w:tcBorders>
              <w:right w:val="single" w:sz="12" w:space="0" w:color="auto"/>
            </w:tcBorders>
          </w:tcPr>
          <w:p w14:paraId="77A6BE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57DD09" w14:textId="77777777">
        <w:tc>
          <w:tcPr>
            <w:tcW w:w="1384" w:type="dxa"/>
            <w:vMerge/>
            <w:tcBorders>
              <w:left w:val="single" w:sz="12" w:space="0" w:color="auto"/>
            </w:tcBorders>
          </w:tcPr>
          <w:p w14:paraId="4867F11E" w14:textId="77777777" w:rsidR="003B3105" w:rsidRDefault="003B3105" w:rsidP="001E533B">
            <w:pPr>
              <w:rPr>
                <w:rFonts w:ascii="新細明體" w:eastAsia="新細明體" w:hAnsi="新細明體"/>
              </w:rPr>
            </w:pPr>
          </w:p>
        </w:tc>
        <w:tc>
          <w:tcPr>
            <w:tcW w:w="1276" w:type="dxa"/>
            <w:vMerge/>
          </w:tcPr>
          <w:p w14:paraId="5699EA02" w14:textId="77777777" w:rsidR="003B3105" w:rsidRDefault="003B3105" w:rsidP="001E533B">
            <w:pPr>
              <w:rPr>
                <w:rFonts w:ascii="新細明體" w:eastAsia="新細明體" w:hAnsi="新細明體"/>
              </w:rPr>
            </w:pPr>
          </w:p>
        </w:tc>
        <w:tc>
          <w:tcPr>
            <w:tcW w:w="5386" w:type="dxa"/>
            <w:tcBorders>
              <w:top w:val="nil"/>
              <w:bottom w:val="nil"/>
            </w:tcBorders>
          </w:tcPr>
          <w:p w14:paraId="69B32DF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(四)有價證券抵繳作業：</w:t>
            </w:r>
          </w:p>
        </w:tc>
        <w:tc>
          <w:tcPr>
            <w:tcW w:w="5387" w:type="dxa"/>
            <w:tcBorders>
              <w:top w:val="nil"/>
              <w:bottom w:val="nil"/>
            </w:tcBorders>
          </w:tcPr>
          <w:p w14:paraId="19F70B0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(四)有價證券抵繳作業：</w:t>
            </w:r>
          </w:p>
        </w:tc>
        <w:tc>
          <w:tcPr>
            <w:tcW w:w="2023" w:type="dxa"/>
            <w:vMerge/>
            <w:tcBorders>
              <w:right w:val="single" w:sz="12" w:space="0" w:color="auto"/>
            </w:tcBorders>
          </w:tcPr>
          <w:p w14:paraId="356F3B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7BBDC8" w14:textId="77777777">
        <w:tc>
          <w:tcPr>
            <w:tcW w:w="1384" w:type="dxa"/>
            <w:vMerge/>
            <w:tcBorders>
              <w:left w:val="single" w:sz="12" w:space="0" w:color="auto"/>
            </w:tcBorders>
          </w:tcPr>
          <w:p w14:paraId="50C756A5" w14:textId="77777777" w:rsidR="003B3105" w:rsidRDefault="003B3105" w:rsidP="001E533B">
            <w:pPr>
              <w:rPr>
                <w:rFonts w:ascii="新細明體" w:eastAsia="新細明體" w:hAnsi="新細明體"/>
              </w:rPr>
            </w:pPr>
          </w:p>
        </w:tc>
        <w:tc>
          <w:tcPr>
            <w:tcW w:w="1276" w:type="dxa"/>
            <w:vMerge/>
          </w:tcPr>
          <w:p w14:paraId="0A53D083" w14:textId="77777777" w:rsidR="003B3105" w:rsidRDefault="003B3105" w:rsidP="001E533B">
            <w:pPr>
              <w:rPr>
                <w:rFonts w:ascii="新細明體" w:eastAsia="新細明體" w:hAnsi="新細明體"/>
              </w:rPr>
            </w:pPr>
          </w:p>
        </w:tc>
        <w:tc>
          <w:tcPr>
            <w:tcW w:w="5386" w:type="dxa"/>
            <w:tcBorders>
              <w:top w:val="nil"/>
              <w:bottom w:val="nil"/>
            </w:tcBorders>
          </w:tcPr>
          <w:p w14:paraId="4C72D9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1.客戶得以「證券商辦理有價證券買賣融資融券業務操作辦法」第五十七條第一項</w:t>
            </w:r>
            <w:r>
              <w:rPr>
                <w:rFonts w:ascii="新細明體" w:eastAsia="新細明體" w:hAnsi="新細明體" w:cs="新細明體" w:hint="eastAsia"/>
                <w:b/>
                <w:color w:val="FF0000"/>
                <w:u w:val="single"/>
              </w:rPr>
              <w:t>各</w:t>
            </w:r>
            <w:r>
              <w:rPr>
                <w:rFonts w:ascii="新細明體" w:eastAsia="新細明體" w:hAnsi="新細明體" w:cs="新細明體" w:hint="eastAsia"/>
              </w:rPr>
              <w:t>款或其他商品抵繳融券保證金及其依同辦法第五十四條規定應補繳之差額。前開抵繳之有價證券或其他商品應符合同辦法第五十七條之規範</w:t>
            </w:r>
            <w:r>
              <w:rPr>
                <w:rFonts w:ascii="新細明體" w:eastAsia="新細明體" w:hAnsi="新細明體" w:cs="新細明體" w:hint="eastAsia"/>
                <w:b/>
                <w:color w:val="FF0000"/>
                <w:u w:val="single"/>
              </w:rPr>
              <w:t>；另證券商應訂定具體之風險認定標準及最低收受抵繳金額，以作為評估是否收受抵繳擔保品之依據</w:t>
            </w:r>
            <w:r>
              <w:rPr>
                <w:rFonts w:ascii="新細明體" w:eastAsia="新細明體" w:hAnsi="新細明體" w:cs="新細明體" w:hint="eastAsia"/>
              </w:rPr>
              <w:t>。</w:t>
            </w:r>
          </w:p>
        </w:tc>
        <w:tc>
          <w:tcPr>
            <w:tcW w:w="5387" w:type="dxa"/>
            <w:tcBorders>
              <w:top w:val="nil"/>
              <w:bottom w:val="nil"/>
            </w:tcBorders>
          </w:tcPr>
          <w:p w14:paraId="6D0FE2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1.客戶得以「證券商辦理有價證券買賣融資融券業務操作辦法」第五十七條第一項</w:t>
            </w:r>
            <w:r>
              <w:rPr>
                <w:rFonts w:ascii="新細明體" w:eastAsia="新細明體" w:hAnsi="新細明體" w:cs="新細明體" w:hint="eastAsia"/>
                <w:b/>
                <w:color w:val="FF0000"/>
              </w:rPr>
              <w:t>1至4</w:t>
            </w:r>
            <w:r>
              <w:rPr>
                <w:rFonts w:ascii="新細明體" w:eastAsia="新細明體" w:hAnsi="新細明體" w:cs="新細明體" w:hint="eastAsia"/>
              </w:rPr>
              <w:t>款或其他商品抵繳融券保證金及其依同辦法第五十四條規定應補繳之差額。前開抵繳之有價證券或其他商品應符合同辦法第五十七條之規範。</w:t>
            </w:r>
          </w:p>
        </w:tc>
        <w:tc>
          <w:tcPr>
            <w:tcW w:w="2023" w:type="dxa"/>
            <w:vMerge/>
            <w:tcBorders>
              <w:right w:val="single" w:sz="12" w:space="0" w:color="auto"/>
            </w:tcBorders>
          </w:tcPr>
          <w:p w14:paraId="157B41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9104EC" w14:textId="77777777">
        <w:tc>
          <w:tcPr>
            <w:tcW w:w="1384" w:type="dxa"/>
            <w:vMerge/>
            <w:tcBorders>
              <w:left w:val="single" w:sz="12" w:space="0" w:color="auto"/>
            </w:tcBorders>
          </w:tcPr>
          <w:p w14:paraId="0A2C79A0" w14:textId="77777777" w:rsidR="003B3105" w:rsidRDefault="003B3105" w:rsidP="001E533B">
            <w:pPr>
              <w:rPr>
                <w:rFonts w:ascii="新細明體" w:eastAsia="新細明體" w:hAnsi="新細明體"/>
              </w:rPr>
            </w:pPr>
          </w:p>
        </w:tc>
        <w:tc>
          <w:tcPr>
            <w:tcW w:w="1276" w:type="dxa"/>
            <w:vMerge/>
          </w:tcPr>
          <w:p w14:paraId="6742AC0A" w14:textId="77777777" w:rsidR="003B3105" w:rsidRDefault="003B3105" w:rsidP="001E533B">
            <w:pPr>
              <w:rPr>
                <w:rFonts w:ascii="新細明體" w:eastAsia="新細明體" w:hAnsi="新細明體"/>
              </w:rPr>
            </w:pPr>
          </w:p>
        </w:tc>
        <w:tc>
          <w:tcPr>
            <w:tcW w:w="5386" w:type="dxa"/>
            <w:tcBorders>
              <w:top w:val="nil"/>
              <w:bottom w:val="nil"/>
            </w:tcBorders>
          </w:tcPr>
          <w:p w14:paraId="03CEEF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採非當面方式申請以其本人在公司開設之證券集中保管帳戶內有價證券或其他商品，或以證券商名義為委託人申購之證券投資信託基金受益憑證，抵繳融券保證金或其依「證券商辦理有價證券買賣融資融券業務操作辦法」第五十四條規定應補繳之差額者，仍須依同辦法第五十七條規定辦理，並須簽具非當面辦理有價證券或其他商品抵繳同意書，經公司確認並留存紀錄。</w:t>
            </w:r>
          </w:p>
        </w:tc>
        <w:tc>
          <w:tcPr>
            <w:tcW w:w="5387" w:type="dxa"/>
            <w:tcBorders>
              <w:top w:val="nil"/>
              <w:bottom w:val="nil"/>
            </w:tcBorders>
          </w:tcPr>
          <w:p w14:paraId="34C008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採非當面方式申請以其本人在公司開設之證券集中保管帳戶內有價證券或其他商品，或以證券商名義為委託人申購之證券投資信託基金受益憑證，抵繳融券保證金或其依「證券商辦理有價證券買賣融資融券業務操作辦法」第五十四條規定應補繳之差額者，仍須依同辦法第五十七條規定辦理，並須簽具非當面辦理有價證券或其他商品抵繳同意書，經公司確認並留存紀錄。</w:t>
            </w:r>
          </w:p>
        </w:tc>
        <w:tc>
          <w:tcPr>
            <w:tcW w:w="2023" w:type="dxa"/>
            <w:vMerge/>
            <w:tcBorders>
              <w:right w:val="single" w:sz="12" w:space="0" w:color="auto"/>
            </w:tcBorders>
          </w:tcPr>
          <w:p w14:paraId="460032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05F8C6" w14:textId="77777777">
        <w:tc>
          <w:tcPr>
            <w:tcW w:w="1384" w:type="dxa"/>
            <w:vMerge/>
            <w:tcBorders>
              <w:left w:val="single" w:sz="12" w:space="0" w:color="auto"/>
            </w:tcBorders>
          </w:tcPr>
          <w:p w14:paraId="267683CA" w14:textId="77777777" w:rsidR="003B3105" w:rsidRDefault="003B3105" w:rsidP="001E533B">
            <w:pPr>
              <w:rPr>
                <w:rFonts w:ascii="新細明體" w:eastAsia="新細明體" w:hAnsi="新細明體"/>
              </w:rPr>
            </w:pPr>
          </w:p>
        </w:tc>
        <w:tc>
          <w:tcPr>
            <w:tcW w:w="1276" w:type="dxa"/>
            <w:vMerge/>
          </w:tcPr>
          <w:p w14:paraId="2BAA9CBF" w14:textId="77777777" w:rsidR="003B3105" w:rsidRDefault="003B3105" w:rsidP="001E533B">
            <w:pPr>
              <w:rPr>
                <w:rFonts w:ascii="新細明體" w:eastAsia="新細明體" w:hAnsi="新細明體"/>
              </w:rPr>
            </w:pPr>
          </w:p>
        </w:tc>
        <w:tc>
          <w:tcPr>
            <w:tcW w:w="5386" w:type="dxa"/>
            <w:tcBorders>
              <w:top w:val="nil"/>
              <w:bottom w:val="nil"/>
            </w:tcBorders>
          </w:tcPr>
          <w:p w14:paraId="4B4C26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3.公司對前項得採非當面方式辦理之客戶以電話申請抵繳者，公司應確認本人身</w:t>
            </w:r>
            <w:r>
              <w:rPr>
                <w:rFonts w:ascii="新細明體" w:eastAsia="新細明體" w:hAnsi="新細明體" w:cs="新細明體" w:hint="eastAsia"/>
              </w:rPr>
              <w:lastRenderedPageBreak/>
              <w:t>分並同步錄音</w:t>
            </w:r>
            <w:r>
              <w:rPr>
                <w:rFonts w:ascii="新細明體" w:eastAsia="新細明體" w:hAnsi="新細明體" w:cs="新細明體" w:hint="eastAsia"/>
                <w:b/>
                <w:color w:val="FF0000"/>
                <w:u w:val="single"/>
              </w:rPr>
              <w:t>；以通信或電子化方式申請者</w:t>
            </w:r>
            <w:r>
              <w:rPr>
                <w:rFonts w:ascii="新細明體" w:eastAsia="新細明體" w:hAnsi="新細明體" w:cs="新細明體" w:hint="eastAsia"/>
              </w:rPr>
              <w:t>，</w:t>
            </w:r>
            <w:r>
              <w:rPr>
                <w:rFonts w:ascii="新細明體" w:eastAsia="新細明體" w:hAnsi="新細明體" w:cs="新細明體" w:hint="eastAsia"/>
                <w:b/>
                <w:color w:val="FF0000"/>
                <w:u w:val="single"/>
              </w:rPr>
              <w:t>公司應確認本人身分及其意思表示並留存相關紀錄。</w:t>
            </w:r>
            <w:r>
              <w:rPr>
                <w:rFonts w:ascii="新細明體" w:eastAsia="新細明體" w:hAnsi="新細明體" w:cs="新細明體" w:hint="eastAsia"/>
              </w:rPr>
              <w:t>電話</w:t>
            </w:r>
            <w:r>
              <w:rPr>
                <w:rFonts w:ascii="新細明體" w:eastAsia="新細明體" w:hAnsi="新細明體" w:cs="新細明體" w:hint="eastAsia"/>
                <w:b/>
                <w:color w:val="FF0000"/>
                <w:u w:val="single"/>
              </w:rPr>
              <w:t>及通信之</w:t>
            </w:r>
            <w:r>
              <w:rPr>
                <w:rFonts w:ascii="新細明體" w:eastAsia="新細明體" w:hAnsi="新細明體" w:cs="新細明體" w:hint="eastAsia"/>
              </w:rPr>
              <w:t>紀錄應置於營業處所，</w:t>
            </w:r>
            <w:r>
              <w:rPr>
                <w:rFonts w:ascii="新細明體" w:eastAsia="新細明體" w:hAnsi="新細明體" w:cs="新細明體" w:hint="eastAsia"/>
                <w:b/>
                <w:color w:val="FF0000"/>
                <w:u w:val="single"/>
              </w:rPr>
              <w:t>電子化方式之紀錄應可隨時將儲存於電子媒體資料轉換為書面。前述紀錄應</w:t>
            </w:r>
            <w:r>
              <w:rPr>
                <w:rFonts w:ascii="新細明體" w:eastAsia="新細明體" w:hAnsi="新細明體" w:cs="新細明體" w:hint="eastAsia"/>
              </w:rPr>
              <w:t>至少保存一年，有爭議者應保存至爭議消除為止。</w:t>
            </w:r>
          </w:p>
        </w:tc>
        <w:tc>
          <w:tcPr>
            <w:tcW w:w="5387" w:type="dxa"/>
            <w:tcBorders>
              <w:top w:val="nil"/>
              <w:bottom w:val="nil"/>
            </w:tcBorders>
          </w:tcPr>
          <w:p w14:paraId="436811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3.公司對前項得採非當面方式辦理之客戶以電話申請抵繳者，公司應確認本人身</w:t>
            </w:r>
            <w:r>
              <w:rPr>
                <w:rFonts w:ascii="新細明體" w:eastAsia="新細明體" w:hAnsi="新細明體" w:cs="新細明體" w:hint="eastAsia"/>
              </w:rPr>
              <w:lastRenderedPageBreak/>
              <w:t>分並同步錄音，電話</w:t>
            </w:r>
            <w:r>
              <w:rPr>
                <w:rFonts w:ascii="新細明體" w:eastAsia="新細明體" w:hAnsi="新細明體" w:cs="新細明體" w:hint="eastAsia"/>
                <w:b/>
                <w:color w:val="FF0000"/>
              </w:rPr>
              <w:t>錄音</w:t>
            </w:r>
            <w:r>
              <w:rPr>
                <w:rFonts w:ascii="新細明體" w:eastAsia="新細明體" w:hAnsi="新細明體" w:cs="新細明體" w:hint="eastAsia"/>
              </w:rPr>
              <w:t>紀錄應置於營業處所，</w:t>
            </w:r>
            <w:r>
              <w:rPr>
                <w:rFonts w:ascii="新細明體" w:eastAsia="新細明體" w:hAnsi="新細明體" w:cs="新細明體" w:hint="eastAsia"/>
                <w:b/>
                <w:color w:val="FF0000"/>
              </w:rPr>
              <w:t>並</w:t>
            </w:r>
            <w:r>
              <w:rPr>
                <w:rFonts w:ascii="新細明體" w:eastAsia="新細明體" w:hAnsi="新細明體" w:cs="新細明體" w:hint="eastAsia"/>
              </w:rPr>
              <w:t>至少保存一年，有爭議者應保存至爭議消除為止。</w:t>
            </w:r>
            <w:r>
              <w:rPr>
                <w:rFonts w:ascii="新細明體" w:eastAsia="新細明體" w:hAnsi="新細明體" w:cs="新細明體" w:hint="eastAsia"/>
                <w:b/>
                <w:color w:val="FF0000"/>
              </w:rPr>
              <w:t>（註：保存期限由二個月延長為一年，自100年10月5日起實施）</w:t>
            </w:r>
          </w:p>
        </w:tc>
        <w:tc>
          <w:tcPr>
            <w:tcW w:w="2023" w:type="dxa"/>
            <w:vMerge/>
            <w:tcBorders>
              <w:right w:val="single" w:sz="12" w:space="0" w:color="auto"/>
            </w:tcBorders>
          </w:tcPr>
          <w:p w14:paraId="0A7FCDC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45ED21" w14:textId="77777777">
        <w:tc>
          <w:tcPr>
            <w:tcW w:w="1384" w:type="dxa"/>
            <w:vMerge/>
            <w:tcBorders>
              <w:left w:val="single" w:sz="12" w:space="0" w:color="auto"/>
            </w:tcBorders>
          </w:tcPr>
          <w:p w14:paraId="5425A795" w14:textId="77777777" w:rsidR="003B3105" w:rsidRDefault="003B3105" w:rsidP="001E533B">
            <w:pPr>
              <w:rPr>
                <w:rFonts w:ascii="新細明體" w:eastAsia="新細明體" w:hAnsi="新細明體"/>
              </w:rPr>
            </w:pPr>
          </w:p>
        </w:tc>
        <w:tc>
          <w:tcPr>
            <w:tcW w:w="1276" w:type="dxa"/>
            <w:vMerge/>
          </w:tcPr>
          <w:p w14:paraId="439AEF4C" w14:textId="77777777" w:rsidR="003B3105" w:rsidRDefault="003B3105" w:rsidP="001E533B">
            <w:pPr>
              <w:rPr>
                <w:rFonts w:ascii="新細明體" w:eastAsia="新細明體" w:hAnsi="新細明體"/>
              </w:rPr>
            </w:pPr>
          </w:p>
        </w:tc>
        <w:tc>
          <w:tcPr>
            <w:tcW w:w="5386" w:type="dxa"/>
            <w:tcBorders>
              <w:top w:val="nil"/>
              <w:bottom w:val="nil"/>
            </w:tcBorders>
          </w:tcPr>
          <w:p w14:paraId="29DB0D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依「證券商辦理有價證券買賣融資融券業務操作辦法」第五十四條第一項規定通知補繳差額後，客戶未於通知送達之日起二個營業日內補繳或僅補繳其部分者，除雙方另有約定者外，公司應依同辦法第五十五條規定處理。</w:t>
            </w:r>
          </w:p>
        </w:tc>
        <w:tc>
          <w:tcPr>
            <w:tcW w:w="5387" w:type="dxa"/>
            <w:tcBorders>
              <w:top w:val="nil"/>
              <w:bottom w:val="nil"/>
            </w:tcBorders>
          </w:tcPr>
          <w:p w14:paraId="5397430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依「證券商辦理有價證券買賣融資融券業務操作辦法」第五十四條第一項規定通知補繳差額後，客戶未於通知送達之日起二個營業日內補繳或僅補繳其部分者，除雙方另有約定者外，公司應依同辦法第五十五條規定處理。</w:t>
            </w:r>
          </w:p>
        </w:tc>
        <w:tc>
          <w:tcPr>
            <w:tcW w:w="2023" w:type="dxa"/>
            <w:vMerge/>
            <w:tcBorders>
              <w:right w:val="single" w:sz="12" w:space="0" w:color="auto"/>
            </w:tcBorders>
          </w:tcPr>
          <w:p w14:paraId="6CF294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858F5F" w14:textId="77777777">
        <w:tc>
          <w:tcPr>
            <w:tcW w:w="1384" w:type="dxa"/>
            <w:vMerge/>
            <w:tcBorders>
              <w:left w:val="single" w:sz="12" w:space="0" w:color="auto"/>
            </w:tcBorders>
          </w:tcPr>
          <w:p w14:paraId="62A6D4CA" w14:textId="77777777" w:rsidR="003B3105" w:rsidRDefault="003B3105" w:rsidP="001E533B">
            <w:pPr>
              <w:rPr>
                <w:rFonts w:ascii="新細明體" w:eastAsia="新細明體" w:hAnsi="新細明體"/>
              </w:rPr>
            </w:pPr>
          </w:p>
        </w:tc>
        <w:tc>
          <w:tcPr>
            <w:tcW w:w="1276" w:type="dxa"/>
            <w:vMerge/>
          </w:tcPr>
          <w:p w14:paraId="353E465D" w14:textId="77777777" w:rsidR="003B3105" w:rsidRDefault="003B3105" w:rsidP="001E533B">
            <w:pPr>
              <w:rPr>
                <w:rFonts w:ascii="新細明體" w:eastAsia="新細明體" w:hAnsi="新細明體"/>
              </w:rPr>
            </w:pPr>
          </w:p>
        </w:tc>
        <w:tc>
          <w:tcPr>
            <w:tcW w:w="5386" w:type="dxa"/>
            <w:tcBorders>
              <w:top w:val="nil"/>
              <w:bottom w:val="nil"/>
            </w:tcBorders>
          </w:tcPr>
          <w:p w14:paraId="311E36B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證券商辦理有價證券買賣融資融券業務操作辦法」第五十五條第一項處分之標的為客戶信用交易帳戶內各該筆因不足擔保維持率經通知補繳之融資融券擔保品；經處分後如有溢額應予發還；不足抵償債務者，即以其信用帳戶內之其他款項抵充，經抵充仍有不足者，證券商應通知委託人於次一營業日補足差額。公司於處分各該客戶信用帳戶各該筆因擔保維持率不足，經通知補繳而未依規定期限補繳之融資融券擔保品，得就各該客戶不足一交易單位之權值新股或分割受讓公司之股票合併為一交易單位處分之。</w:t>
            </w:r>
          </w:p>
        </w:tc>
        <w:tc>
          <w:tcPr>
            <w:tcW w:w="5387" w:type="dxa"/>
            <w:tcBorders>
              <w:top w:val="nil"/>
              <w:bottom w:val="nil"/>
            </w:tcBorders>
          </w:tcPr>
          <w:p w14:paraId="6F2648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依「證券商辦理有價證券買賣融資融券業務操作辦法」第五十五條第一項處分之標的為客戶信用交易帳戶內各該筆因不足擔保維持率經通知補繳之融資融券擔保品；經處分後如有溢額應予發還；不足抵償債務者，即以其信用帳戶內之其他款項抵充，經抵充仍有不足者，證券商應通知委託人於次一營業日補足差額。公司於處分各該客戶信用帳戶各該筆因擔保維持率不足，經通知補繳而未依規定期限補繳之融資融券擔保品，得就各該客戶不足一交易單位之權值新股或分割受讓公司之股票合併為一交易單位處分之。</w:t>
            </w:r>
          </w:p>
        </w:tc>
        <w:tc>
          <w:tcPr>
            <w:tcW w:w="2023" w:type="dxa"/>
            <w:vMerge/>
            <w:tcBorders>
              <w:right w:val="single" w:sz="12" w:space="0" w:color="auto"/>
            </w:tcBorders>
          </w:tcPr>
          <w:p w14:paraId="2AB262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(七)融資融券之處分與交割應依「證券商辦理</w:t>
            </w:r>
            <w:r>
              <w:rPr>
                <w:rFonts w:ascii="新細明體" w:eastAsia="新細明體" w:hAnsi="新細明體" w:cs="新細明體" w:hint="eastAsia"/>
              </w:rPr>
              <w:lastRenderedPageBreak/>
              <w:t>有價證券買賣融資融券業務操作辦法」第八十一條辦理。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(七)融資融券之處分與交割應依「證券商辦理</w:t>
            </w:r>
            <w:r>
              <w:rPr>
                <w:rFonts w:ascii="新細明體" w:eastAsia="新細明體" w:hAnsi="新細明體" w:cs="新細明體" w:hint="eastAsia"/>
              </w:rPr>
              <w:lastRenderedPageBreak/>
              <w:t>有價證券買賣融資融券業務操作辦法」第八十一條辦理。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28BFA" w14:textId="77777777" w:rsidR="00853B94" w:rsidRDefault="00853B94" w:rsidP="00E87601">
      <w:pPr>
        <w:spacing w:line="240" w:lineRule="auto"/>
      </w:pPr>
      <w:r>
        <w:separator/>
      </w:r>
    </w:p>
  </w:endnote>
  <w:endnote w:type="continuationSeparator" w:id="0">
    <w:p w14:paraId="1F330513" w14:textId="77777777" w:rsidR="00853B94" w:rsidRDefault="00853B94"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FA33E" w14:textId="77777777" w:rsidR="00853B94" w:rsidRDefault="00853B94" w:rsidP="00E87601">
      <w:pPr>
        <w:spacing w:line="240" w:lineRule="auto"/>
      </w:pPr>
      <w:r>
        <w:separator/>
      </w:r>
    </w:p>
  </w:footnote>
  <w:footnote w:type="continuationSeparator" w:id="0">
    <w:p w14:paraId="32AFE526" w14:textId="77777777" w:rsidR="00853B94" w:rsidRDefault="00853B94"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47134"/>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60D65"/>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53B94"/>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27F2F"/>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97F69"/>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C4DDB"/>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444</Words>
  <Characters>2531</Characters>
  <Application>Microsoft Office Word</Application>
  <DocSecurity>0</DocSecurity>
  <Lines>21</Lines>
  <Paragraphs>5</Paragraphs>
  <ScaleCrop>false</ScaleCrop>
  <Company>Hewlett-Packard Company</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2026-03-08T04:09:00Z</dcterms:created>
  <dcterms:modified xsi:type="dcterms:W3CDTF">2026-03-27T01:45:00Z</dcterms:modified>
</cp:coreProperties>
</file>